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E58" w:rsidRPr="00AD6FC8" w:rsidRDefault="00CD1E58" w:rsidP="006108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D1E58" w:rsidRPr="00AD6FC8" w:rsidRDefault="00CD1E58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Jan Kochanowski University of Kielce</w:t>
      </w:r>
    </w:p>
    <w:p w:rsidR="00731102" w:rsidRPr="00AD6FC8" w:rsidRDefault="00565059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Academic year 2021/2022</w:t>
      </w:r>
    </w:p>
    <w:p w:rsidR="00CD1E58" w:rsidRPr="00AD6FC8" w:rsidRDefault="00C76236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Faculty </w:t>
      </w:r>
      <w:r w:rsidR="00ED3647"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844BF2"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Law and Social Sciences</w:t>
      </w:r>
    </w:p>
    <w:p w:rsidR="009C05F1" w:rsidRPr="00AD6FC8" w:rsidRDefault="009C05F1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Institute </w:t>
      </w:r>
      <w:r w:rsidR="00ED3647"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of</w:t>
      </w:r>
      <w:r w:rsidR="00844BF2"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International Relations and Public Policies </w:t>
      </w:r>
    </w:p>
    <w:p w:rsidR="00927DE6" w:rsidRDefault="00CD1E58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Field of study: </w:t>
      </w:r>
      <w:r w:rsidR="00BD793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International Relations</w:t>
      </w:r>
    </w:p>
    <w:p w:rsidR="00CD1E58" w:rsidRPr="00AD6FC8" w:rsidRDefault="00CD1E58" w:rsidP="0061089E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</w:pPr>
      <w:r w:rsidRPr="00AD6FC8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Academic coordinator: </w:t>
      </w:r>
      <w:r w:rsidR="009919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dr </w:t>
      </w:r>
      <w:proofErr w:type="spellStart"/>
      <w:r w:rsidR="009919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Katarzyna</w:t>
      </w:r>
      <w:proofErr w:type="spellEnd"/>
      <w:r w:rsidR="009919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 xml:space="preserve"> </w:t>
      </w:r>
      <w:proofErr w:type="spellStart"/>
      <w:r w:rsidR="0099190E">
        <w:rPr>
          <w:rFonts w:ascii="Times New Roman" w:eastAsiaTheme="minorEastAsia" w:hAnsi="Times New Roman" w:cs="Times New Roman"/>
          <w:sz w:val="24"/>
          <w:szCs w:val="24"/>
          <w:lang w:val="en-US" w:eastAsia="pl-PL"/>
        </w:rPr>
        <w:t>Gruszko</w:t>
      </w:r>
      <w:proofErr w:type="spellEnd"/>
    </w:p>
    <w:p w:rsidR="00CD1E58" w:rsidRPr="00AD6FC8" w:rsidRDefault="00CD1E58" w:rsidP="0061089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AD6FC8">
        <w:rPr>
          <w:rFonts w:ascii="Times New Roman" w:hAnsi="Times New Roman" w:cs="Times New Roman"/>
          <w:sz w:val="24"/>
          <w:szCs w:val="24"/>
          <w:lang w:val="en-US"/>
        </w:rPr>
        <w:t>e-mail:</w:t>
      </w:r>
      <w:r w:rsidR="007238DB" w:rsidRPr="00AD6FC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hyperlink r:id="rId8" w:history="1">
        <w:r w:rsidR="007238DB" w:rsidRPr="0099190E">
          <w:rPr>
            <w:rStyle w:val="Hipercze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katarzyna.gruszko@ujk.edu.pl</w:t>
        </w:r>
      </w:hyperlink>
      <w:r w:rsidR="007238DB" w:rsidRPr="009919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CD1E58" w:rsidRPr="00AD6FC8" w:rsidRDefault="00CD1E58" w:rsidP="0061089E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637"/>
        <w:gridCol w:w="1677"/>
        <w:gridCol w:w="837"/>
        <w:gridCol w:w="1464"/>
        <w:gridCol w:w="1184"/>
      </w:tblGrid>
      <w:tr w:rsidR="00AD6FC8" w:rsidRPr="00AD6FC8" w:rsidTr="00565059">
        <w:trPr>
          <w:trHeight w:val="549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31102" w:rsidRPr="00AD6FC8" w:rsidRDefault="0099190E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INTERNATIONAL RELATIONS</w:t>
            </w:r>
          </w:p>
        </w:tc>
      </w:tr>
      <w:tr w:rsidR="00AD6FC8" w:rsidRPr="00AD6FC8" w:rsidTr="00C67ED8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D6FC8" w:rsidRDefault="00210B3A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</w:t>
            </w:r>
            <w:r w:rsidR="00E009C8"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D6FC8" w:rsidRDefault="00210B3A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210B3A" w:rsidRPr="00AD6FC8" w:rsidRDefault="00210B3A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210B3A" w:rsidRPr="00AD6FC8" w:rsidRDefault="00210B3A" w:rsidP="0061089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210B3A" w:rsidRPr="00AD6FC8" w:rsidRDefault="00210B3A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D6FC8" w:rsidRDefault="00210B3A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210B3A" w:rsidRPr="00AD6FC8" w:rsidRDefault="00BC17D7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</w:t>
            </w:r>
            <w:r w:rsidR="00210B3A"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ours per semester</w:t>
            </w:r>
          </w:p>
        </w:tc>
      </w:tr>
      <w:tr w:rsidR="00AD6FC8" w:rsidRPr="00AD6FC8" w:rsidTr="00565059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D2CAB" w:rsidRPr="00AD6FC8" w:rsidRDefault="004D2CAB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AD6FC8" w:rsidRPr="00AD6FC8" w:rsidTr="0099190E">
        <w:trPr>
          <w:trHeight w:val="447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99190E" w:rsidRDefault="00AE31E1" w:rsidP="0061089E">
            <w:pPr>
              <w:rPr>
                <w:rFonts w:ascii="Times New Roman" w:hAnsi="Times New Roman" w:cs="Times New Roman"/>
                <w:iCs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Study of State and Politics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7949EF" w:rsidP="0099190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61089E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AE31E1" w:rsidP="0061089E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99190E" w:rsidRDefault="007949EF" w:rsidP="00610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AD6FC8" w:rsidRDefault="0073583F" w:rsidP="0061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30/30</w:t>
            </w:r>
            <w:r w:rsidR="00E10CCB" w:rsidRPr="00AD6FC8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AD6FC8">
              <w:rPr>
                <w:rFonts w:ascii="Times New Roman" w:hAnsi="Times New Roman" w:cs="Times New Roman"/>
                <w:lang w:val="en-US"/>
              </w:rPr>
              <w:t>(</w:t>
            </w:r>
            <w:r w:rsidR="007949EF" w:rsidRPr="00AD6FC8">
              <w:rPr>
                <w:rFonts w:ascii="Times New Roman" w:hAnsi="Times New Roman" w:cs="Times New Roman"/>
                <w:lang w:val="en-US"/>
              </w:rPr>
              <w:t>60</w:t>
            </w:r>
            <w:r w:rsidRPr="00AD6FC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D6FC8" w:rsidRPr="00AD6FC8" w:rsidTr="0099190E">
        <w:trPr>
          <w:trHeight w:val="42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Pr="0099190E" w:rsidRDefault="0073583F" w:rsidP="0061089E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Leadership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Pr="00AD6FC8" w:rsidRDefault="0073583F" w:rsidP="0099190E">
            <w:pPr>
              <w:rPr>
                <w:rFonts w:ascii="Times New Roman" w:hAnsi="Times New Roman" w:cs="Times New Roman"/>
              </w:rPr>
            </w:pPr>
            <w:proofErr w:type="spellStart"/>
            <w:r w:rsidRPr="00AD6FC8">
              <w:rPr>
                <w:rFonts w:ascii="Times New Roman" w:hAnsi="Times New Roman" w:cs="Times New Roman"/>
              </w:rPr>
              <w:t>Leadership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Pr="00AD6FC8" w:rsidRDefault="0073583F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Pr="00AD6FC8" w:rsidRDefault="00C67ED8" w:rsidP="0061089E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F" w:rsidRPr="0099190E" w:rsidRDefault="0073583F" w:rsidP="00610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3583F" w:rsidRPr="00AD6FC8" w:rsidRDefault="0073583F" w:rsidP="0061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30/15 (45</w:t>
            </w:r>
            <w:r w:rsidR="00C67ED8" w:rsidRPr="00AD6FC8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AD6FC8" w:rsidRPr="00AD6FC8" w:rsidTr="0099190E">
        <w:trPr>
          <w:trHeight w:val="560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99190E" w:rsidRDefault="00C67ED8" w:rsidP="00C67E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lang w:val="en-GB" w:eastAsia="pl-PL"/>
              </w:rPr>
            </w:pPr>
            <w:proofErr w:type="spellStart"/>
            <w:r w:rsidRPr="0099190E">
              <w:rPr>
                <w:rFonts w:ascii="Times New Roman" w:eastAsia="Times New Roman" w:hAnsi="Times New Roman" w:cs="Times New Roman"/>
                <w:lang w:val="en-GB" w:eastAsia="pl-PL"/>
              </w:rPr>
              <w:t>Audiovisual</w:t>
            </w:r>
            <w:proofErr w:type="spellEnd"/>
            <w:r w:rsidRPr="0099190E">
              <w:rPr>
                <w:rFonts w:ascii="Times New Roman" w:eastAsia="Times New Roman" w:hAnsi="Times New Roman" w:cs="Times New Roman"/>
                <w:lang w:val="en-GB" w:eastAsia="pl-PL"/>
              </w:rPr>
              <w:t xml:space="preserve"> communication</w:t>
            </w:r>
          </w:p>
          <w:p w:rsidR="00C67ED8" w:rsidRPr="0099190E" w:rsidRDefault="00C67ED8" w:rsidP="0061089E">
            <w:pPr>
              <w:rPr>
                <w:rFonts w:ascii="Times New Roman" w:hAnsi="Times New Roman" w:cs="Times New Roman"/>
                <w:lang w:val="en-GB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99190E" w:rsidRDefault="00C67ED8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Komunikacja audiowizualna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AD6FC8" w:rsidRDefault="000062D3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AD6FC8" w:rsidRDefault="00C67ED8" w:rsidP="0061089E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D8" w:rsidRPr="0099190E" w:rsidRDefault="00C67ED8" w:rsidP="00610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D8" w:rsidRPr="00AD6FC8" w:rsidRDefault="00C67ED8" w:rsidP="0061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30/15 (45)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99190E" w:rsidRDefault="00AE31E1" w:rsidP="0061089E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Diplomatic and Consular Law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99190E" w:rsidRDefault="00494D2B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Prawo dyplomatyczne i konsularne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61089E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AE31E1" w:rsidP="0061089E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99190E" w:rsidRDefault="00494D2B" w:rsidP="00610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AD6FC8" w:rsidRDefault="00494D2B" w:rsidP="0061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30/15 (45)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99190E" w:rsidRDefault="00E10CCB" w:rsidP="00E10CCB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Foreign Policy Analysis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99190E" w:rsidRDefault="00E10CCB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Analiza polityki zagranicznej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AD6FC8" w:rsidRDefault="00E10CCB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AD6FC8" w:rsidRDefault="00E10CCB" w:rsidP="00E10CCB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CB" w:rsidRPr="0099190E" w:rsidRDefault="00E10CCB" w:rsidP="00E10CCB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examination/</w:t>
            </w:r>
          </w:p>
          <w:p w:rsidR="00E10CCB" w:rsidRPr="0099190E" w:rsidRDefault="00E10CCB" w:rsidP="00E10C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CB" w:rsidRPr="00AD6FC8" w:rsidRDefault="00E10CCB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30/15 (45)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99190E" w:rsidRDefault="00B41737" w:rsidP="00E10CCB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eastAsia="Times New Roman" w:hAnsi="Times New Roman" w:cs="Times New Roman"/>
                <w:lang w:val="en-GB" w:eastAsia="pl-PL"/>
              </w:rPr>
              <w:t>International Cultural Relations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AD6FC8" w:rsidRDefault="00B41737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Międzynarodowe stosunki kulturalne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AD6FC8" w:rsidRDefault="00B41737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1737" w:rsidRPr="00AD6FC8" w:rsidRDefault="00B41737" w:rsidP="00E10CCB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7" w:rsidRPr="0099190E" w:rsidRDefault="00B41737" w:rsidP="00E10CCB">
            <w:pPr>
              <w:rPr>
                <w:rFonts w:ascii="Times New Roman" w:hAnsi="Times New Roman" w:cs="Times New Roman"/>
                <w:lang w:val="en-GB"/>
              </w:rPr>
            </w:pPr>
            <w:r w:rsidRPr="0099190E">
              <w:rPr>
                <w:rFonts w:ascii="Times New Roman" w:hAnsi="Times New Roman" w:cs="Times New Roman"/>
                <w:lang w:val="en-GB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737" w:rsidRPr="00AD6FC8" w:rsidRDefault="00B41737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  <w:tr w:rsidR="00AD6FC8" w:rsidRPr="00AD6FC8" w:rsidTr="00565059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10B3A" w:rsidRPr="00AD6FC8" w:rsidRDefault="00BC17D7" w:rsidP="006108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</w:t>
            </w:r>
            <w:r w:rsidR="00210B3A"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ESTER (2</w:t>
            </w:r>
            <w:r w:rsidR="00210B3A" w:rsidRPr="00AD6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AE31E1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Study of State and Politics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583F" w:rsidRPr="00AD6FC8" w:rsidRDefault="0073583F" w:rsidP="0099190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61089E" w:rsidP="0061089E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1E1" w:rsidRPr="00AD6FC8" w:rsidRDefault="00AE31E1" w:rsidP="0061089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D6FC8"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AD6FC8" w:rsidRDefault="00C938B3" w:rsidP="00C938B3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e</w:t>
            </w:r>
            <w:r w:rsidR="00AB1BE1" w:rsidRPr="00AD6FC8">
              <w:rPr>
                <w:rFonts w:ascii="Times New Roman" w:hAnsi="Times New Roman" w:cs="Times New Roman"/>
                <w:lang w:val="en-US"/>
              </w:rPr>
              <w:t>xamination/</w:t>
            </w:r>
          </w:p>
          <w:p w:rsidR="00AB1BE1" w:rsidRPr="00AD6FC8" w:rsidRDefault="00C938B3" w:rsidP="00C938B3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g</w:t>
            </w:r>
            <w:r w:rsidR="00AB1BE1" w:rsidRPr="00AD6FC8">
              <w:rPr>
                <w:rFonts w:ascii="Times New Roman" w:hAnsi="Times New Roman" w:cs="Times New Roman"/>
                <w:lang w:val="en-US"/>
              </w:rPr>
              <w:t>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1E1" w:rsidRPr="00AD6FC8" w:rsidRDefault="00C938B3" w:rsidP="0061089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30/30(60)</w:t>
            </w:r>
          </w:p>
        </w:tc>
      </w:tr>
      <w:tr w:rsidR="00AD6FC8" w:rsidRPr="00AD6FC8" w:rsidTr="0099190E">
        <w:trPr>
          <w:trHeight w:val="348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AD6FC8" w:rsidRDefault="00C67ED8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Marketing of States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99190E" w:rsidRDefault="00C67ED8" w:rsidP="0099190E">
            <w:pPr>
              <w:rPr>
                <w:rFonts w:ascii="Times New Roman" w:hAnsi="Times New Roman" w:cs="Times New Roman"/>
              </w:rPr>
            </w:pPr>
            <w:r w:rsidRPr="0099190E">
              <w:rPr>
                <w:rFonts w:ascii="Times New Roman" w:hAnsi="Times New Roman" w:cs="Times New Roman"/>
              </w:rPr>
              <w:t>Marketing państw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AD6FC8" w:rsidRDefault="009F715E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7ED8" w:rsidRPr="00AD6FC8" w:rsidRDefault="00C67ED8" w:rsidP="00E10CCB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D8" w:rsidRPr="00AD6FC8" w:rsidRDefault="009F715E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6FC8">
              <w:rPr>
                <w:rFonts w:ascii="Times New Roman" w:hAnsi="Times New Roman" w:cs="Times New Roman"/>
              </w:rPr>
              <w:t>graded</w:t>
            </w:r>
            <w:proofErr w:type="spellEnd"/>
            <w:r w:rsidRPr="00AD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FC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7ED8" w:rsidRPr="00AD6FC8" w:rsidRDefault="009F715E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30/15 (45)</w:t>
            </w:r>
          </w:p>
        </w:tc>
      </w:tr>
      <w:tr w:rsidR="00AD6FC8" w:rsidRPr="00AD6FC8" w:rsidTr="0099190E">
        <w:trPr>
          <w:trHeight w:val="424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AD6FC8" w:rsidRDefault="00B41737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Religious Relations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99190E" w:rsidRDefault="00B41737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Stosunki wyznaniowe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AD6FC8" w:rsidRDefault="00E42BE2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0CCB" w:rsidRPr="00AD6FC8" w:rsidRDefault="00B41737" w:rsidP="00E10CCB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CB" w:rsidRPr="00AD6FC8" w:rsidRDefault="00B41737" w:rsidP="00E10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FC8">
              <w:rPr>
                <w:rFonts w:ascii="Times New Roman" w:hAnsi="Times New Roman" w:cs="Times New Roman"/>
              </w:rPr>
              <w:t>graded</w:t>
            </w:r>
            <w:proofErr w:type="spellEnd"/>
            <w:r w:rsidRPr="00AD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FC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0CCB" w:rsidRPr="00AD6FC8" w:rsidRDefault="00B41737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E2" w:rsidRPr="00AD6FC8" w:rsidRDefault="00E42BE2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International Organizations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E2" w:rsidRPr="00AD6FC8" w:rsidRDefault="00E42BE2" w:rsidP="0099190E">
            <w:pPr>
              <w:pStyle w:val="Bezodstpw"/>
              <w:rPr>
                <w:sz w:val="22"/>
                <w:szCs w:val="22"/>
              </w:rPr>
            </w:pPr>
            <w:r w:rsidRPr="00AD6FC8">
              <w:rPr>
                <w:sz w:val="22"/>
                <w:szCs w:val="22"/>
              </w:rPr>
              <w:t>Organizacje międzynarodowe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E2" w:rsidRPr="00AD6FC8" w:rsidRDefault="00E42BE2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BE2" w:rsidRPr="00AD6FC8" w:rsidRDefault="00E42BE2" w:rsidP="00E10CCB">
            <w:pPr>
              <w:jc w:val="center"/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E2" w:rsidRPr="00AD6FC8" w:rsidRDefault="00E42BE2" w:rsidP="00E10CCB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FC8">
              <w:rPr>
                <w:rFonts w:ascii="Times New Roman" w:hAnsi="Times New Roman" w:cs="Times New Roman"/>
              </w:rPr>
              <w:t>graded</w:t>
            </w:r>
            <w:proofErr w:type="spellEnd"/>
            <w:r w:rsidRPr="00AD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FC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BE2" w:rsidRPr="00AD6FC8" w:rsidRDefault="00E42BE2" w:rsidP="00E10CCB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Public Relations in Local Government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99190E">
            <w:pPr>
              <w:pStyle w:val="Bezodstpw"/>
              <w:rPr>
                <w:sz w:val="22"/>
                <w:szCs w:val="22"/>
                <w:lang w:val="en-GB"/>
              </w:rPr>
            </w:pPr>
            <w:r w:rsidRPr="00AD6FC8">
              <w:rPr>
                <w:sz w:val="22"/>
                <w:szCs w:val="22"/>
                <w:lang w:val="en-US"/>
              </w:rPr>
              <w:t>Public Relations in Local Government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D6FC8"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AD6FC8" w:rsidRDefault="00EB138F" w:rsidP="0081569D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D6FC8">
              <w:rPr>
                <w:rFonts w:ascii="Times New Roman" w:hAnsi="Times New Roman" w:cs="Times New Roman"/>
              </w:rPr>
              <w:t>graded</w:t>
            </w:r>
            <w:proofErr w:type="spellEnd"/>
            <w:r w:rsidRPr="00AD6F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6FC8"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AD6FC8" w:rsidRDefault="00EB138F" w:rsidP="008156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  <w:tr w:rsidR="00AD6FC8" w:rsidRPr="00AD6FC8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Crisis Public Relations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99190E">
            <w:pPr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</w:rPr>
              <w:t>Kryzysowe public relations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38F" w:rsidRPr="00AD6FC8" w:rsidRDefault="00EB138F" w:rsidP="00E10CCB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 w:rsidRPr="00AD6FC8"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AD6FC8" w:rsidRDefault="00EB138F" w:rsidP="00EB138F">
            <w:pPr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examination/</w:t>
            </w:r>
          </w:p>
          <w:p w:rsidR="00EB138F" w:rsidRPr="00AD6FC8" w:rsidRDefault="00EB138F" w:rsidP="00B218ED">
            <w:pPr>
              <w:rPr>
                <w:rFonts w:ascii="Times New Roman" w:hAnsi="Times New Roman" w:cs="Times New Roman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138F" w:rsidRPr="00AD6FC8" w:rsidRDefault="00EB138F" w:rsidP="0081569D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AD6FC8"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</w:tbl>
    <w:p w:rsidR="003B5295" w:rsidRDefault="003B5295" w:rsidP="003B5295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3B5295" w:rsidRDefault="003B5295" w:rsidP="00DF6718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are allowed to choose also the courses below offered in the fields of Political Science and Management in Public Policies in 2021/2022</w:t>
      </w:r>
    </w:p>
    <w:p w:rsidR="003B5295" w:rsidRDefault="003B5295" w:rsidP="00DF6718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3B5295" w:rsidRDefault="003B5295" w:rsidP="00DF6718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3B5295" w:rsidRDefault="003B5295" w:rsidP="00DF6718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p w:rsidR="0099190E" w:rsidRPr="00DF6718" w:rsidRDefault="0099190E" w:rsidP="00DF6718">
      <w:pPr>
        <w:ind w:left="-709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637"/>
        <w:gridCol w:w="1677"/>
        <w:gridCol w:w="837"/>
        <w:gridCol w:w="1464"/>
        <w:gridCol w:w="1184"/>
      </w:tblGrid>
      <w:tr w:rsidR="0099190E" w:rsidTr="0099190E">
        <w:trPr>
          <w:trHeight w:val="411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POLITICAL SCIENCE*</w:t>
            </w:r>
          </w:p>
        </w:tc>
      </w:tr>
      <w:tr w:rsidR="0099190E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90E" w:rsidRDefault="00991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9190E" w:rsidTr="0099190E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190E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Theory of Politics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 w:rsidP="0099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Teoria polityki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examination/</w:t>
            </w:r>
          </w:p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30/30 (60)</w:t>
            </w:r>
          </w:p>
        </w:tc>
      </w:tr>
      <w:tr w:rsidR="0099190E" w:rsidTr="0099190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99190E" w:rsidTr="0099190E">
        <w:trPr>
          <w:trHeight w:val="47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90E" w:rsidRPr="0099190E" w:rsidRDefault="0099190E" w:rsidP="0099190E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 w:eastAsia="en-US"/>
              </w:rPr>
              <w:t>Contemporary Political Thought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Współczesna myśl polityczna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examination/</w:t>
            </w:r>
          </w:p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30/30 (60)</w:t>
            </w:r>
          </w:p>
        </w:tc>
      </w:tr>
      <w:tr w:rsidR="0099190E" w:rsidTr="0099190E">
        <w:trPr>
          <w:trHeight w:val="416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pStyle w:val="HTML-wstpniesformatowany"/>
              <w:rPr>
                <w:rFonts w:ascii="Times New Roman" w:hAnsi="Times New Roman" w:cs="Times New Roman"/>
                <w:sz w:val="22"/>
                <w:szCs w:val="22"/>
                <w:lang w:val="en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" w:eastAsia="en-US"/>
              </w:rPr>
              <w:t>European Identity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Pr="0099190E" w:rsidRDefault="0099190E">
            <w:pPr>
              <w:rPr>
                <w:rFonts w:ascii="Times New Roman" w:hAnsi="Times New Roman" w:cs="Times New Roman"/>
              </w:rPr>
            </w:pPr>
            <w:r w:rsidRPr="0099190E">
              <w:rPr>
                <w:rFonts w:ascii="Times New Roman" w:hAnsi="Times New Roman" w:cs="Times New Roman"/>
              </w:rPr>
              <w:t>Tożsamość europejska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</w:tbl>
    <w:p w:rsidR="00AE31E1" w:rsidRDefault="00AE31E1" w:rsidP="0099190E">
      <w:pPr>
        <w:rPr>
          <w:rFonts w:ascii="Times New Roman" w:hAnsi="Times New Roman" w:cs="Times New Roman"/>
          <w:szCs w:val="24"/>
          <w:lang w:val="en-GB"/>
        </w:rPr>
      </w:pPr>
    </w:p>
    <w:p w:rsidR="003B5295" w:rsidRPr="0099190E" w:rsidRDefault="003B5295" w:rsidP="0099190E">
      <w:pPr>
        <w:rPr>
          <w:rFonts w:ascii="Times New Roman" w:hAnsi="Times New Roman" w:cs="Times New Roman"/>
          <w:szCs w:val="24"/>
          <w:lang w:val="en-GB"/>
        </w:rPr>
      </w:pPr>
      <w:bookmarkStart w:id="0" w:name="_GoBack"/>
      <w:bookmarkEnd w:id="0"/>
    </w:p>
    <w:tbl>
      <w:tblPr>
        <w:tblStyle w:val="Tabela-Siatka"/>
        <w:tblW w:w="10575" w:type="dxa"/>
        <w:jc w:val="center"/>
        <w:tblCellMar>
          <w:left w:w="103" w:type="dxa"/>
        </w:tblCellMar>
        <w:tblLook w:val="04A0" w:firstRow="1" w:lastRow="0" w:firstColumn="1" w:lastColumn="0" w:noHBand="0" w:noVBand="1"/>
      </w:tblPr>
      <w:tblGrid>
        <w:gridCol w:w="2776"/>
        <w:gridCol w:w="2637"/>
        <w:gridCol w:w="1677"/>
        <w:gridCol w:w="837"/>
        <w:gridCol w:w="1464"/>
        <w:gridCol w:w="1184"/>
      </w:tblGrid>
      <w:tr w:rsidR="0099190E" w:rsidTr="00DF6718">
        <w:trPr>
          <w:trHeight w:val="528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99190E" w:rsidRDefault="0099190E" w:rsidP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MANAGEMENT IN PUBLIC POLICES*</w:t>
            </w:r>
          </w:p>
        </w:tc>
      </w:tr>
      <w:tr w:rsidR="0099190E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Course unit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Przedmiot</w:t>
            </w:r>
            <w:proofErr w:type="spellEnd"/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Type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9190E" w:rsidRDefault="009919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ECTS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Completion requirements 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Academic hours per semester</w:t>
            </w:r>
          </w:p>
        </w:tc>
      </w:tr>
      <w:tr w:rsidR="0099190E" w:rsidTr="0099190E">
        <w:trPr>
          <w:trHeight w:val="427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WINTER SEMESTER (1)</w:t>
            </w:r>
          </w:p>
        </w:tc>
      </w:tr>
      <w:tr w:rsidR="0099190E" w:rsidTr="0099190E">
        <w:trPr>
          <w:trHeight w:val="521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Study of State and Politics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30/30 (60)</w:t>
            </w:r>
          </w:p>
        </w:tc>
      </w:tr>
      <w:tr w:rsidR="0099190E" w:rsidTr="0099190E">
        <w:trPr>
          <w:trHeight w:val="429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 xml:space="preserve">Management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pl-PL"/>
              </w:rPr>
              <w:t>Psychology</w:t>
            </w:r>
            <w:proofErr w:type="spellEnd"/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 w:rsidP="0099190E">
            <w:pPr>
              <w:pStyle w:val="Bezodstpw"/>
              <w:rPr>
                <w:lang w:eastAsia="en-US"/>
              </w:rPr>
            </w:pPr>
            <w:r>
              <w:rPr>
                <w:lang w:eastAsia="en-US"/>
              </w:rPr>
              <w:t>Psychologia zarządzania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15/15 (30)</w:t>
            </w:r>
          </w:p>
        </w:tc>
      </w:tr>
      <w:tr w:rsidR="0099190E" w:rsidTr="0099190E">
        <w:trPr>
          <w:trHeight w:val="392"/>
          <w:jc w:val="center"/>
        </w:trPr>
        <w:tc>
          <w:tcPr>
            <w:tcW w:w="1057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SUMMER SEMESTER (2)</w:t>
            </w:r>
          </w:p>
        </w:tc>
      </w:tr>
      <w:tr w:rsidR="0099190E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Study of State and Politics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 w:rsidP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Nauka o państwie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GB"/>
              </w:rPr>
            </w:pPr>
            <w:r>
              <w:rPr>
                <w:rFonts w:ascii="Times New Roman" w:hAnsi="Times New Roman" w:cs="Times New Roman"/>
                <w:lang w:val="en-GB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examination/</w:t>
            </w:r>
          </w:p>
          <w:p w:rsidR="0099190E" w:rsidRDefault="009919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graded credit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30/30(60)</w:t>
            </w:r>
          </w:p>
        </w:tc>
      </w:tr>
      <w:tr w:rsidR="0099190E" w:rsidTr="0099190E">
        <w:trPr>
          <w:trHeight w:val="135"/>
          <w:jc w:val="center"/>
        </w:trPr>
        <w:tc>
          <w:tcPr>
            <w:tcW w:w="2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 w:cs="Times New Roman"/>
                <w:szCs w:val="20"/>
                <w:lang w:val="en-GB"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val="en" w:eastAsia="pl-PL"/>
              </w:rPr>
              <w:t>Research Methods in Public Policies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190E" w:rsidRDefault="0099190E">
            <w:pPr>
              <w:pStyle w:val="Bezodstpw"/>
              <w:rPr>
                <w:szCs w:val="22"/>
                <w:lang w:eastAsia="en-US"/>
              </w:rPr>
            </w:pPr>
            <w:r>
              <w:rPr>
                <w:color w:val="000000"/>
                <w:szCs w:val="18"/>
                <w:lang w:eastAsia="en-US"/>
              </w:rPr>
              <w:t>Metody badawcze w politykach publicznych</w:t>
            </w:r>
          </w:p>
        </w:tc>
        <w:tc>
          <w:tcPr>
            <w:tcW w:w="1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Lecture/classes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graded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credit</w:t>
            </w:r>
            <w:proofErr w:type="spellEnd"/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9190E" w:rsidRDefault="0099190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30/30 (60)</w:t>
            </w:r>
          </w:p>
        </w:tc>
      </w:tr>
    </w:tbl>
    <w:p w:rsidR="0099190E" w:rsidRDefault="0099190E" w:rsidP="0099190E">
      <w:pPr>
        <w:pStyle w:val="HTML-wstpniesformatowany"/>
        <w:rPr>
          <w:rFonts w:ascii="Times New Roman" w:hAnsi="Times New Roman" w:cs="Times New Roman"/>
          <w:lang w:val="en"/>
        </w:rPr>
      </w:pPr>
    </w:p>
    <w:p w:rsidR="00435E5B" w:rsidRDefault="0099190E" w:rsidP="0099190E">
      <w:pPr>
        <w:pStyle w:val="HTML-wstpniesformatowany"/>
        <w:jc w:val="both"/>
        <w:rPr>
          <w:rFonts w:ascii="Times New Roman" w:hAnsi="Times New Roman" w:cs="Times New Roman"/>
          <w:lang w:val="en"/>
        </w:rPr>
      </w:pPr>
      <w:r>
        <w:rPr>
          <w:rFonts w:ascii="Times New Roman" w:hAnsi="Times New Roman" w:cs="Times New Roman"/>
          <w:lang w:val="en"/>
        </w:rPr>
        <w:t xml:space="preserve"> </w:t>
      </w:r>
    </w:p>
    <w:p w:rsidR="0099190E" w:rsidRPr="00DF6718" w:rsidRDefault="00DF6718" w:rsidP="00DF6718">
      <w:pPr>
        <w:pStyle w:val="HTML-wstpniesformatowany"/>
        <w:ind w:left="-709"/>
        <w:jc w:val="both"/>
        <w:rPr>
          <w:rFonts w:ascii="Times New Roman" w:hAnsi="Times New Roman" w:cs="Times New Roman"/>
          <w:sz w:val="24"/>
          <w:szCs w:val="24"/>
          <w:lang w:val="en"/>
        </w:rPr>
      </w:pPr>
      <w:r>
        <w:rPr>
          <w:rFonts w:ascii="Times New Roman" w:hAnsi="Times New Roman" w:cs="Times New Roman"/>
          <w:sz w:val="24"/>
          <w:szCs w:val="24"/>
          <w:lang w:val="en"/>
        </w:rPr>
        <w:t xml:space="preserve">* 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>Please note that in the field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>s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 xml:space="preserve"> of Political Science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 xml:space="preserve"> and Management in Public Policies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>, the offer depends on the level of interest in the course</w:t>
      </w:r>
      <w:r w:rsidR="0099190E" w:rsidRPr="00DF6718">
        <w:rPr>
          <w:rFonts w:ascii="Times New Roman" w:hAnsi="Times New Roman" w:cs="Times New Roman"/>
          <w:sz w:val="24"/>
          <w:szCs w:val="24"/>
          <w:lang w:val="en"/>
        </w:rPr>
        <w:t xml:space="preserve"> and must be individually consulted with the academic coordinator.</w:t>
      </w:r>
    </w:p>
    <w:p w:rsidR="0099190E" w:rsidRPr="00DF6718" w:rsidRDefault="0099190E" w:rsidP="0099190E">
      <w:pPr>
        <w:rPr>
          <w:rFonts w:ascii="Times New Roman" w:hAnsi="Times New Roman" w:cs="Times New Roman"/>
          <w:sz w:val="24"/>
          <w:szCs w:val="24"/>
          <w:lang w:val="en"/>
        </w:rPr>
      </w:pPr>
    </w:p>
    <w:sectPr w:rsidR="0099190E" w:rsidRPr="00DF6718" w:rsidSect="001E7B76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A0B" w:rsidRDefault="00545A0B" w:rsidP="00CD1E58">
      <w:pPr>
        <w:spacing w:after="0" w:line="240" w:lineRule="auto"/>
      </w:pPr>
      <w:r>
        <w:separator/>
      </w:r>
    </w:p>
  </w:endnote>
  <w:endnote w:type="continuationSeparator" w:id="0">
    <w:p w:rsidR="00545A0B" w:rsidRDefault="00545A0B" w:rsidP="00CD1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A0B" w:rsidRDefault="00545A0B" w:rsidP="00CD1E58">
      <w:pPr>
        <w:spacing w:after="0" w:line="240" w:lineRule="auto"/>
      </w:pPr>
      <w:r>
        <w:separator/>
      </w:r>
    </w:p>
  </w:footnote>
  <w:footnote w:type="continuationSeparator" w:id="0">
    <w:p w:rsidR="00545A0B" w:rsidRDefault="00545A0B" w:rsidP="00CD1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1E58" w:rsidRDefault="00CD1E58">
    <w:pPr>
      <w:pStyle w:val="Nagwek"/>
    </w:pPr>
    <w:r w:rsidRPr="00C31055">
      <w:rPr>
        <w:b/>
        <w:bCs/>
        <w:noProof/>
        <w:lang w:eastAsia="pl-PL"/>
      </w:rPr>
      <w:drawing>
        <wp:anchor distT="0" distB="0" distL="114300" distR="114300" simplePos="0" relativeHeight="251658240" behindDoc="0" locked="0" layoutInCell="1" allowOverlap="1" wp14:anchorId="4C4DB19E" wp14:editId="5BA3D4FC">
          <wp:simplePos x="0" y="0"/>
          <wp:positionH relativeFrom="margin">
            <wp:posOffset>-7620</wp:posOffset>
          </wp:positionH>
          <wp:positionV relativeFrom="margin">
            <wp:posOffset>-567690</wp:posOffset>
          </wp:positionV>
          <wp:extent cx="1654175" cy="342900"/>
          <wp:effectExtent l="0" t="0" r="3175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4175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Times New Roman" w:eastAsiaTheme="minorEastAsia" w:hAnsi="Times New Roman" w:cs="Times New Roman"/>
        <w:b/>
        <w:noProof/>
        <w:color w:val="262626"/>
        <w:sz w:val="24"/>
        <w:szCs w:val="24"/>
        <w:lang w:eastAsia="pl-PL"/>
      </w:rPr>
      <w:drawing>
        <wp:anchor distT="0" distB="0" distL="114300" distR="114300" simplePos="0" relativeHeight="251659264" behindDoc="1" locked="0" layoutInCell="1" allowOverlap="1" wp14:anchorId="1658DA8B" wp14:editId="69C4D3BF">
          <wp:simplePos x="0" y="0"/>
          <wp:positionH relativeFrom="column">
            <wp:posOffset>4617085</wp:posOffset>
          </wp:positionH>
          <wp:positionV relativeFrom="paragraph">
            <wp:posOffset>-213360</wp:posOffset>
          </wp:positionV>
          <wp:extent cx="1183005" cy="658495"/>
          <wp:effectExtent l="0" t="0" r="0" b="8255"/>
          <wp:wrapTight wrapText="bothSides">
            <wp:wrapPolygon edited="0">
              <wp:start x="0" y="0"/>
              <wp:lineTo x="0" y="21246"/>
              <wp:lineTo x="21217" y="21246"/>
              <wp:lineTo x="21217" y="0"/>
              <wp:lineTo x="0" y="0"/>
            </wp:wrapPolygon>
          </wp:wrapTight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2F6D90"/>
    <w:multiLevelType w:val="hybridMultilevel"/>
    <w:tmpl w:val="644AE6E2"/>
    <w:lvl w:ilvl="0" w:tplc="4606CEF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343"/>
    <w:rsid w:val="000062D3"/>
    <w:rsid w:val="00015EDC"/>
    <w:rsid w:val="00080C7F"/>
    <w:rsid w:val="001262A9"/>
    <w:rsid w:val="00166913"/>
    <w:rsid w:val="001E7B76"/>
    <w:rsid w:val="00210B3A"/>
    <w:rsid w:val="00230012"/>
    <w:rsid w:val="003B5295"/>
    <w:rsid w:val="003D743B"/>
    <w:rsid w:val="00435E5B"/>
    <w:rsid w:val="00442711"/>
    <w:rsid w:val="00494D2B"/>
    <w:rsid w:val="004D2CAB"/>
    <w:rsid w:val="004E19A9"/>
    <w:rsid w:val="00505FD7"/>
    <w:rsid w:val="00545A0B"/>
    <w:rsid w:val="00552449"/>
    <w:rsid w:val="00565059"/>
    <w:rsid w:val="0061089E"/>
    <w:rsid w:val="006C04D6"/>
    <w:rsid w:val="007126D4"/>
    <w:rsid w:val="007238DB"/>
    <w:rsid w:val="00731102"/>
    <w:rsid w:val="0073583F"/>
    <w:rsid w:val="00736983"/>
    <w:rsid w:val="0074567E"/>
    <w:rsid w:val="00746A15"/>
    <w:rsid w:val="007949EF"/>
    <w:rsid w:val="00844BF2"/>
    <w:rsid w:val="008A021E"/>
    <w:rsid w:val="008E2BAA"/>
    <w:rsid w:val="00913C2E"/>
    <w:rsid w:val="00927DE6"/>
    <w:rsid w:val="0099190E"/>
    <w:rsid w:val="009C05F1"/>
    <w:rsid w:val="009F715E"/>
    <w:rsid w:val="00A8705C"/>
    <w:rsid w:val="00AB1BE1"/>
    <w:rsid w:val="00AD394C"/>
    <w:rsid w:val="00AD6FC8"/>
    <w:rsid w:val="00AE31E1"/>
    <w:rsid w:val="00B017B0"/>
    <w:rsid w:val="00B03343"/>
    <w:rsid w:val="00B218ED"/>
    <w:rsid w:val="00B41737"/>
    <w:rsid w:val="00B6331A"/>
    <w:rsid w:val="00BC17D7"/>
    <w:rsid w:val="00BD793E"/>
    <w:rsid w:val="00C67ED8"/>
    <w:rsid w:val="00C7418B"/>
    <w:rsid w:val="00C76236"/>
    <w:rsid w:val="00C938B3"/>
    <w:rsid w:val="00CD1E58"/>
    <w:rsid w:val="00CD5A8B"/>
    <w:rsid w:val="00CD66EC"/>
    <w:rsid w:val="00CD7EF3"/>
    <w:rsid w:val="00D01A28"/>
    <w:rsid w:val="00DF6718"/>
    <w:rsid w:val="00E009C8"/>
    <w:rsid w:val="00E10915"/>
    <w:rsid w:val="00E10CCB"/>
    <w:rsid w:val="00E20A72"/>
    <w:rsid w:val="00E42BE2"/>
    <w:rsid w:val="00EB138F"/>
    <w:rsid w:val="00ED3647"/>
    <w:rsid w:val="00F961CA"/>
    <w:rsid w:val="00FA4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D4E2B2"/>
  <w15:docId w15:val="{AC2F0E9B-BB1F-4C96-980F-293713FC7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D1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E58"/>
  </w:style>
  <w:style w:type="paragraph" w:styleId="Stopka">
    <w:name w:val="footer"/>
    <w:basedOn w:val="Normalny"/>
    <w:link w:val="StopkaZnak"/>
    <w:uiPriority w:val="99"/>
    <w:unhideWhenUsed/>
    <w:rsid w:val="00CD1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1E58"/>
  </w:style>
  <w:style w:type="paragraph" w:styleId="Tekstdymka">
    <w:name w:val="Balloon Text"/>
    <w:basedOn w:val="Normalny"/>
    <w:link w:val="TekstdymkaZnak"/>
    <w:uiPriority w:val="99"/>
    <w:semiHidden/>
    <w:unhideWhenUsed/>
    <w:rsid w:val="004D2C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2CAB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C05F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C05F1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5F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5F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5F1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7238DB"/>
    <w:rPr>
      <w:color w:val="0563C1" w:themeColor="hyperlink"/>
      <w:u w:val="single"/>
    </w:rPr>
  </w:style>
  <w:style w:type="paragraph" w:styleId="Bezodstpw">
    <w:name w:val="No Spacing"/>
    <w:uiPriority w:val="1"/>
    <w:qFormat/>
    <w:rsid w:val="00C67E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67E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67ED8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218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07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6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zyna.gruszko@ujk.edu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AB6C45-1B01-425A-9A30-52B18BEAB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431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6</cp:revision>
  <cp:lastPrinted>2020-12-29T07:15:00Z</cp:lastPrinted>
  <dcterms:created xsi:type="dcterms:W3CDTF">2021-04-16T13:11:00Z</dcterms:created>
  <dcterms:modified xsi:type="dcterms:W3CDTF">2021-04-16T13:17:00Z</dcterms:modified>
</cp:coreProperties>
</file>