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4E" w:rsidRDefault="00F8224E">
      <w:pPr>
        <w:rPr>
          <w:rFonts w:ascii="Times New Roman" w:hAnsi="Times New Roman" w:cs="Times New Roman"/>
        </w:rPr>
      </w:pPr>
      <w:bookmarkStart w:id="0" w:name="_GoBack"/>
      <w:bookmarkEnd w:id="0"/>
    </w:p>
    <w:p w:rsidR="00F8224E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F8224E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2023/2024</w:t>
      </w:r>
    </w:p>
    <w:p w:rsidR="00F8224E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:rsidR="00F8224E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:rsidR="00F8224E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Environment Protection</w:t>
      </w:r>
    </w:p>
    <w:p w:rsidR="00F8224E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</w:p>
    <w:p w:rsidR="00F8224E" w:rsidRPr="002C121C" w:rsidRDefault="008E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121C">
        <w:rPr>
          <w:rFonts w:ascii="Times New Roman" w:hAnsi="Times New Roman" w:cs="Times New Roman"/>
          <w:sz w:val="24"/>
          <w:szCs w:val="24"/>
          <w:lang w:val="en-US"/>
        </w:rPr>
        <w:t>e-mail: grzegorz.walek@ujk.edu.pl</w:t>
      </w:r>
    </w:p>
    <w:p w:rsidR="00F8224E" w:rsidRDefault="008E2A81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https://igeo.ujk.edu.pl/index.php?page=eduprograms&amp;option=erasmus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134"/>
        <w:gridCol w:w="851"/>
        <w:gridCol w:w="1599"/>
        <w:gridCol w:w="1184"/>
      </w:tblGrid>
      <w:tr w:rsidR="00F8224E" w:rsidTr="002C121C">
        <w:trPr>
          <w:trHeight w:val="549"/>
          <w:jc w:val="center"/>
        </w:trPr>
        <w:tc>
          <w:tcPr>
            <w:tcW w:w="10575" w:type="dxa"/>
            <w:gridSpan w:val="6"/>
            <w:shd w:val="clear" w:color="auto" w:fill="BFBFBF" w:themeFill="background1" w:themeFillShade="BF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ENVIRONMENTAL PROTECTION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8224E" w:rsidRDefault="00F822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8224E" w:rsidTr="002C121C">
        <w:trPr>
          <w:trHeight w:val="427"/>
          <w:jc w:val="center"/>
        </w:trPr>
        <w:tc>
          <w:tcPr>
            <w:tcW w:w="10575" w:type="dxa"/>
            <w:gridSpan w:val="6"/>
            <w:shd w:val="clear" w:color="auto" w:fill="D9D9D9" w:themeFill="background1" w:themeFillShade="D9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Ecotoxicology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Ekotoksykologia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Ecotoxicology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Ekotoksykologia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planning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Planowanie przestrzenne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planning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Planowanie przestrzenne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systems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systems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Microbiology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Microbiology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Genetics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genetic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engineering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Genetics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genetic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engineering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Process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projects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Process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projects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Fundamentals of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spatial development plan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preparation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Podstawy sporządzania planu przestrzennego </w:t>
            </w:r>
            <w:r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Fundamentals of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spatial development plan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preparation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Podstawy sporządzania planu przestrzennego zagospodarowania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Basis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biochemistry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Basis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biochemistry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Atmospheric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Atmospheric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communication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Technologie informacyjno-</w:t>
            </w:r>
            <w:r>
              <w:rPr>
                <w:rFonts w:ascii="Times New Roman" w:eastAsia="Calibri" w:hAnsi="Times New Roman" w:cs="Times New Roman"/>
              </w:rPr>
              <w:lastRenderedPageBreak/>
              <w:t>komunikacyjne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laboratory</w:t>
            </w:r>
            <w:proofErr w:type="spellEnd"/>
          </w:p>
        </w:tc>
        <w:tc>
          <w:tcPr>
            <w:tcW w:w="851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Botany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Botany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392"/>
          <w:jc w:val="center"/>
        </w:trPr>
        <w:tc>
          <w:tcPr>
            <w:tcW w:w="10575" w:type="dxa"/>
            <w:gridSpan w:val="6"/>
            <w:shd w:val="clear" w:color="auto" w:fill="D9D9D9" w:themeFill="background1" w:themeFillShade="D9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Ecology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Ekologia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Ecology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Ekologia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Organic chemistry with elements of natural compounds chemistry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Chemia organiczna z elementami chemii związków naturalnych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Organic chemistry with elements of natural compounds chemistry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Chemia organiczna z elementami </w:t>
            </w:r>
            <w:r>
              <w:rPr>
                <w:rFonts w:ascii="Times New Roman" w:eastAsia="Calibri" w:hAnsi="Times New Roman" w:cs="Times New Roman"/>
              </w:rPr>
              <w:t>chemii związków naturalnych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Chosen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questions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from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geoekology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Wybrane zagadnienia z geoekologii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Chosen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questions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from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geoekology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Wybrane zagadnienia z geoekologii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Environment monitoring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Environment monitoring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Waste management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Waste management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Methods of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Evaluation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and Improvement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of the Environment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Methods of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Evaluation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and Improvement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of the Environment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Functioning of natural and anthropogenic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geoecosystems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Góry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Świętokrzyskie</w:t>
            </w:r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Funkcjonowanie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geoesystemów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naturalnych i antropogenicznych w Górach Świętokrzyskich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field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51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Biopower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51" w:type="dxa"/>
            <w:vMerge w:val="restart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8224E" w:rsidTr="002C121C">
        <w:trPr>
          <w:trHeight w:val="135"/>
          <w:jc w:val="center"/>
        </w:trPr>
        <w:tc>
          <w:tcPr>
            <w:tcW w:w="2972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Biopower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134" w:type="dxa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8224E" w:rsidRDefault="00F82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F8224E" w:rsidRDefault="008E2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F8224E" w:rsidRDefault="00F8224E">
      <w:pPr>
        <w:rPr>
          <w:rFonts w:ascii="Times New Roman" w:hAnsi="Times New Roman" w:cs="Times New Roman"/>
        </w:rPr>
      </w:pPr>
    </w:p>
    <w:sectPr w:rsidR="00F8224E">
      <w:headerReference w:type="default" r:id="rId8"/>
      <w:pgSz w:w="11906" w:h="16838"/>
      <w:pgMar w:top="1560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81" w:rsidRDefault="008E2A81">
      <w:pPr>
        <w:spacing w:after="0" w:line="240" w:lineRule="auto"/>
      </w:pPr>
      <w:r>
        <w:separator/>
      </w:r>
    </w:p>
  </w:endnote>
  <w:endnote w:type="continuationSeparator" w:id="0">
    <w:p w:rsidR="008E2A81" w:rsidRDefault="008E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81" w:rsidRDefault="008E2A81">
      <w:pPr>
        <w:spacing w:after="0" w:line="240" w:lineRule="auto"/>
      </w:pPr>
      <w:r>
        <w:separator/>
      </w:r>
    </w:p>
  </w:footnote>
  <w:footnote w:type="continuationSeparator" w:id="0">
    <w:p w:rsidR="008E2A81" w:rsidRDefault="008E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E" w:rsidRDefault="008E2A81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4617085</wp:posOffset>
          </wp:positionH>
          <wp:positionV relativeFrom="paragraph">
            <wp:posOffset>-175260</wp:posOffset>
          </wp:positionV>
          <wp:extent cx="1183005" cy="658495"/>
          <wp:effectExtent l="0" t="0" r="0" b="0"/>
          <wp:wrapTight wrapText="bothSides">
            <wp:wrapPolygon edited="0">
              <wp:start x="-9" y="0"/>
              <wp:lineTo x="-9" y="21237"/>
              <wp:lineTo x="21214" y="21237"/>
              <wp:lineTo x="21214" y="0"/>
              <wp:lineTo x="-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975485" cy="34734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4E"/>
    <w:rsid w:val="002C121C"/>
    <w:rsid w:val="008E2A81"/>
    <w:rsid w:val="00F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AC46A-3602-44A9-A412-60690AC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322A50"/>
  </w:style>
  <w:style w:type="character" w:customStyle="1" w:styleId="jlqj4b">
    <w:name w:val="jlqj4b"/>
    <w:basedOn w:val="Domylnaczcionkaakapitu"/>
    <w:qFormat/>
    <w:rsid w:val="00EF16B6"/>
  </w:style>
  <w:style w:type="character" w:styleId="Hipercze">
    <w:name w:val="Hyperlink"/>
    <w:basedOn w:val="Domylnaczcionkaakapitu"/>
    <w:uiPriority w:val="99"/>
    <w:unhideWhenUsed/>
    <w:rsid w:val="00481F3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geo.ujk.edu.pl/index.php?page=eduprograms&amp;option=erasm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550C-6C05-4B4F-99E8-D2A30FB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3128</Characters>
  <Application>Microsoft Office Word</Application>
  <DocSecurity>0</DocSecurity>
  <Lines>26</Lines>
  <Paragraphs>7</Paragraphs>
  <ScaleCrop>false</ScaleCrop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8</cp:revision>
  <cp:lastPrinted>2020-12-29T07:15:00Z</cp:lastPrinted>
  <dcterms:created xsi:type="dcterms:W3CDTF">2022-02-18T07:29:00Z</dcterms:created>
  <dcterms:modified xsi:type="dcterms:W3CDTF">2023-03-25T16:49:00Z</dcterms:modified>
  <dc:language>pl-PL</dc:language>
</cp:coreProperties>
</file>